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pacing w:val="60"/>
          <w:sz w:val="36"/>
          <w:szCs w:val="36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45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pacing w:val="-2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pacing w:val="-2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pacing w:val="-20"/>
          <w:sz w:val="36"/>
          <w:szCs w:val="36"/>
        </w:rPr>
      </w:pPr>
      <w:r>
        <w:rPr>
          <w:rFonts w:hint="eastAsia" w:ascii="黑体" w:hAnsi="黑体" w:eastAsia="黑体" w:cs="黑体"/>
          <w:spacing w:val="-20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pacing w:val="-20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pacing w:val="-20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</w:rPr>
        <w:t>关于202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eastAsia="方正小标宋简体"/>
          <w:sz w:val="36"/>
          <w:szCs w:val="36"/>
        </w:rPr>
        <w:t>年中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省</w:t>
      </w:r>
      <w:r>
        <w:rPr>
          <w:rFonts w:hint="eastAsia" w:ascii="方正小标宋简体" w:eastAsia="方正小标宋简体"/>
          <w:sz w:val="36"/>
          <w:szCs w:val="36"/>
        </w:rPr>
        <w:t>财政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衔接</w:t>
      </w:r>
      <w:r>
        <w:rPr>
          <w:rFonts w:hint="eastAsia" w:ascii="方正小标宋简体" w:eastAsia="方正小标宋简体"/>
          <w:sz w:val="36"/>
          <w:szCs w:val="36"/>
        </w:rPr>
        <w:t>资金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贾村镇</w:t>
      </w:r>
    </w:p>
    <w:p>
      <w:pPr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</w:rPr>
        <w:t>广福村粮食社会化服务项目实施方案的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批复</w:t>
      </w:r>
    </w:p>
    <w:p>
      <w:pPr>
        <w:spacing w:line="240" w:lineRule="exact"/>
        <w:jc w:val="left"/>
        <w:rPr>
          <w:rFonts w:ascii="??_GB2312" w:hAnsi="??_GB2312" w:cs="??_GB2312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spacing w:val="-2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贾村</w:t>
      </w:r>
      <w:r>
        <w:rPr>
          <w:rFonts w:hint="eastAsia" w:ascii="仿宋" w:hAnsi="仿宋" w:eastAsia="仿宋" w:cs="仿宋"/>
          <w:sz w:val="32"/>
          <w:szCs w:val="32"/>
        </w:rPr>
        <w:t>镇人民政府：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你镇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《关于上报2022年中央和省级财政衔接补助资金产业项目实施方案的报告</w:t>
      </w:r>
      <w:r>
        <w:rPr>
          <w:rFonts w:hint="eastAsia" w:ascii="仿宋" w:hAnsi="仿宋" w:eastAsia="仿宋" w:cs="仿宋"/>
          <w:sz w:val="32"/>
          <w:szCs w:val="32"/>
        </w:rPr>
        <w:t>》(</w:t>
      </w:r>
      <w:r>
        <w:rPr>
          <w:rFonts w:hint="eastAsia" w:ascii="??_GB2312" w:hAnsi="黑体" w:eastAsia="仿宋_GB2312" w:cs="黑体"/>
          <w:sz w:val="32"/>
          <w:szCs w:val="32"/>
        </w:rPr>
        <w:t>宝陈贾政字</w:t>
      </w:r>
      <w:r>
        <w:rPr>
          <w:rFonts w:hint="eastAsia" w:ascii="仿宋_GB2312" w:hAnsi="新宋体" w:eastAsia="仿宋_GB2312"/>
          <w:color w:val="000000"/>
          <w:spacing w:val="19"/>
          <w:kern w:val="0"/>
          <w:sz w:val="32"/>
          <w:szCs w:val="20"/>
        </w:rPr>
        <w:t>〔2022〕</w:t>
      </w:r>
      <w:r>
        <w:rPr>
          <w:rFonts w:hint="eastAsia" w:ascii="??_GB2312" w:hAnsi="黑体" w:eastAsia="仿宋_GB2312" w:cs="黑体"/>
          <w:sz w:val="32"/>
          <w:szCs w:val="32"/>
          <w:lang w:val="en-US" w:eastAsia="zh-CN"/>
        </w:rPr>
        <w:t>45</w:t>
      </w:r>
      <w:r>
        <w:rPr>
          <w:rFonts w:hint="eastAsia" w:ascii="??_GB2312" w:hAnsi="黑体" w:eastAsia="仿宋_GB2312" w:cs="黑体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</w:rPr>
        <w:t>)收悉。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经3月26日宝鸡市陈仓区2022年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中央和省级财政衔接补助资金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项目评审会公开质询评审，该项目符合扶贫项目管理规定，同意你镇实施广福村粮食社会化服务项目，现批复如下：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 项目建设内容及规模：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640" w:firstLineChars="200"/>
        <w:textAlignment w:val="auto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仿宋_GB2312" w:hAnsi="Calibri" w:eastAsia="仿宋_GB2312" w:cs="Times New Roman"/>
          <w:sz w:val="32"/>
          <w:szCs w:val="32"/>
        </w:rPr>
        <w:t>建设地点及规模：</w:t>
      </w:r>
      <w:r>
        <w:rPr>
          <w:rFonts w:hint="eastAsia" w:ascii="仿宋_GB2312" w:hAnsi="Calibri" w:eastAsia="仿宋_GB2312"/>
          <w:sz w:val="32"/>
          <w:szCs w:val="32"/>
        </w:rPr>
        <w:t>项目地点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在</w:t>
      </w:r>
      <w:r>
        <w:rPr>
          <w:rFonts w:hint="eastAsia" w:ascii="仿宋_GB2312" w:hAnsi="Calibri" w:eastAsia="仿宋_GB2312"/>
          <w:sz w:val="32"/>
          <w:szCs w:val="32"/>
        </w:rPr>
        <w:t>广福村原小学院内，为撤并小学，占地面积5亩，距离</w:t>
      </w:r>
      <w:r>
        <w:rPr>
          <w:rFonts w:hint="eastAsia" w:ascii="仿宋_GB2312" w:hAnsi="仿宋_GB2312" w:eastAsia="仿宋_GB2312"/>
          <w:sz w:val="32"/>
          <w:szCs w:val="32"/>
        </w:rPr>
        <w:t>底县县级公路</w:t>
      </w:r>
      <w:r>
        <w:rPr>
          <w:rFonts w:hint="eastAsia" w:ascii="仿宋_GB2312" w:hAnsi="Calibri" w:eastAsia="仿宋_GB2312"/>
          <w:sz w:val="32"/>
          <w:szCs w:val="32"/>
        </w:rPr>
        <w:t>100多米，粮食临时储藏库1000平方米采用轻钢结构主体设计，檐口高度6.0m。室外铺设2000平方米的粮食晾晒场地及风干等设施。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640" w:firstLineChars="200"/>
        <w:textAlignment w:val="auto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2.建设内容：</w:t>
      </w:r>
      <w:r>
        <w:rPr>
          <w:rFonts w:hint="eastAsia" w:ascii="仿宋_GB2312" w:hAnsi="Calibri" w:eastAsia="仿宋_GB2312"/>
          <w:sz w:val="32"/>
          <w:szCs w:val="32"/>
        </w:rPr>
        <w:t>项目实施主体为陈仓区贾村镇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人民政府</w:t>
      </w:r>
      <w:r>
        <w:rPr>
          <w:rFonts w:hint="eastAsia" w:ascii="仿宋_GB2312" w:hAnsi="Calibri" w:eastAsia="仿宋_GB2312"/>
          <w:sz w:val="32"/>
          <w:szCs w:val="32"/>
        </w:rPr>
        <w:t>。建设主要内容为钢结构粮食临时储藏库1000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平</w:t>
      </w:r>
      <w:r>
        <w:rPr>
          <w:rFonts w:hint="eastAsia" w:ascii="仿宋_GB2312" w:hAnsi="Calibri" w:eastAsia="仿宋_GB2312"/>
          <w:sz w:val="32"/>
          <w:szCs w:val="32"/>
        </w:rPr>
        <w:t>方米，晾晒场地2000平方米，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机械库100平方米，</w:t>
      </w:r>
      <w:r>
        <w:rPr>
          <w:rFonts w:hint="eastAsia" w:ascii="仿宋_GB2312" w:hAnsi="Calibri" w:eastAsia="仿宋_GB2312"/>
          <w:sz w:val="32"/>
          <w:szCs w:val="32"/>
        </w:rPr>
        <w:t>电动门及门房、100吨地磅1台，购置装载机1台、揉丝机1台</w:t>
      </w:r>
      <w:r>
        <w:rPr>
          <w:rFonts w:ascii="仿宋_GB2312" w:hAnsi="Calibri" w:eastAsia="仿宋_GB2312"/>
          <w:sz w:val="32"/>
          <w:szCs w:val="32"/>
        </w:rPr>
        <w:t>、</w:t>
      </w:r>
      <w:r>
        <w:rPr>
          <w:rFonts w:hint="eastAsia" w:ascii="仿宋_GB2312" w:hAnsi="Calibri" w:eastAsia="仿宋_GB2312"/>
          <w:sz w:val="32"/>
          <w:szCs w:val="32"/>
        </w:rPr>
        <w:t>拖拉机1台及配套设备。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3.投资估算：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tbl>
      <w:tblPr>
        <w:tblStyle w:val="3"/>
        <w:tblW w:w="878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4"/>
        <w:gridCol w:w="2520"/>
        <w:gridCol w:w="1095"/>
        <w:gridCol w:w="1245"/>
        <w:gridCol w:w="13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594" w:type="dxa"/>
          </w:tcPr>
          <w:p>
            <w:pPr>
              <w:spacing w:line="360" w:lineRule="auto"/>
              <w:ind w:firstLine="221" w:firstLineChars="100"/>
              <w:jc w:val="center"/>
              <w:rPr>
                <w:rFonts w:ascii="黑体" w:hAnsi="黑体" w:cs="黑体" w:eastAsiaTheme="minorEastAsia"/>
                <w:b/>
                <w:sz w:val="22"/>
                <w:szCs w:val="22"/>
              </w:rPr>
            </w:pPr>
            <w:r>
              <w:rPr>
                <w:rFonts w:hint="eastAsia" w:ascii="黑体" w:hAnsi="黑体" w:cs="黑体" w:eastAsiaTheme="minorEastAsia"/>
                <w:b/>
                <w:sz w:val="22"/>
                <w:szCs w:val="22"/>
              </w:rPr>
              <w:t>子项</w:t>
            </w:r>
          </w:p>
        </w:tc>
        <w:tc>
          <w:tcPr>
            <w:tcW w:w="2520" w:type="dxa"/>
          </w:tcPr>
          <w:p>
            <w:pPr>
              <w:spacing w:line="360" w:lineRule="auto"/>
              <w:ind w:firstLine="1104" w:firstLineChars="500"/>
              <w:jc w:val="both"/>
              <w:rPr>
                <w:rFonts w:ascii="黑体" w:hAnsi="黑体" w:cs="黑体" w:eastAsiaTheme="minorEastAsia"/>
                <w:b/>
                <w:sz w:val="22"/>
                <w:szCs w:val="22"/>
              </w:rPr>
            </w:pPr>
            <w:r>
              <w:rPr>
                <w:rFonts w:hint="eastAsia" w:ascii="黑体" w:hAnsi="黑体" w:cs="黑体" w:eastAsiaTheme="minorEastAsia"/>
                <w:b/>
                <w:sz w:val="22"/>
                <w:szCs w:val="22"/>
              </w:rPr>
              <w:t>型号</w:t>
            </w:r>
          </w:p>
        </w:tc>
        <w:tc>
          <w:tcPr>
            <w:tcW w:w="1095" w:type="dxa"/>
          </w:tcPr>
          <w:p>
            <w:pPr>
              <w:spacing w:line="360" w:lineRule="auto"/>
              <w:ind w:left="0" w:leftChars="0" w:firstLine="221" w:firstLineChars="100"/>
              <w:jc w:val="both"/>
              <w:rPr>
                <w:rFonts w:ascii="黑体" w:hAnsi="黑体" w:cs="黑体" w:eastAsiaTheme="minorEastAsia"/>
                <w:b/>
                <w:sz w:val="22"/>
                <w:szCs w:val="22"/>
              </w:rPr>
            </w:pPr>
            <w:r>
              <w:rPr>
                <w:rFonts w:hint="eastAsia" w:ascii="黑体" w:hAnsi="黑体" w:cs="黑体" w:eastAsiaTheme="minorEastAsia"/>
                <w:b/>
                <w:sz w:val="22"/>
                <w:szCs w:val="22"/>
              </w:rPr>
              <w:t>数量</w:t>
            </w:r>
          </w:p>
        </w:tc>
        <w:tc>
          <w:tcPr>
            <w:tcW w:w="1245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黑体" w:hAnsi="黑体" w:cs="黑体" w:eastAsiaTheme="minorEastAsia"/>
                <w:b/>
                <w:sz w:val="22"/>
                <w:szCs w:val="22"/>
              </w:rPr>
            </w:pPr>
            <w:r>
              <w:rPr>
                <w:rFonts w:hint="eastAsia" w:ascii="黑体" w:hAnsi="黑体" w:cs="黑体" w:eastAsiaTheme="minorEastAsia"/>
                <w:b/>
                <w:sz w:val="22"/>
                <w:szCs w:val="22"/>
              </w:rPr>
              <w:t>单价（元）</w:t>
            </w:r>
          </w:p>
        </w:tc>
        <w:tc>
          <w:tcPr>
            <w:tcW w:w="1334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黑体" w:hAnsi="黑体" w:cs="黑体" w:eastAsiaTheme="minorEastAsia"/>
                <w:b/>
                <w:sz w:val="22"/>
                <w:szCs w:val="22"/>
              </w:rPr>
            </w:pPr>
            <w:r>
              <w:rPr>
                <w:rFonts w:hint="eastAsia" w:ascii="黑体" w:hAnsi="黑体" w:cs="黑体" w:eastAsiaTheme="minorEastAsia"/>
                <w:b/>
                <w:sz w:val="22"/>
                <w:szCs w:val="22"/>
              </w:rPr>
              <w:t>总价(</w:t>
            </w:r>
            <w:r>
              <w:rPr>
                <w:rFonts w:hint="eastAsia" w:ascii="黑体" w:hAnsi="黑体" w:cs="黑体" w:eastAsiaTheme="minorEastAsia"/>
                <w:b/>
                <w:sz w:val="22"/>
                <w:szCs w:val="22"/>
                <w:lang w:val="en-US" w:eastAsia="zh-CN"/>
              </w:rPr>
              <w:t>万</w:t>
            </w:r>
            <w:r>
              <w:rPr>
                <w:rFonts w:hint="eastAsia" w:ascii="黑体" w:hAnsi="黑体" w:cs="黑体" w:eastAsiaTheme="minorEastAsia"/>
                <w:b/>
                <w:sz w:val="22"/>
                <w:szCs w:val="22"/>
              </w:rPr>
              <w:t>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594" w:type="dxa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储藏库</w:t>
            </w:r>
          </w:p>
        </w:tc>
        <w:tc>
          <w:tcPr>
            <w:tcW w:w="2520" w:type="dxa"/>
          </w:tcPr>
          <w:p>
            <w:pPr>
              <w:widowControl/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30mX36m</w:t>
            </w:r>
          </w:p>
        </w:tc>
        <w:tc>
          <w:tcPr>
            <w:tcW w:w="1095" w:type="dxa"/>
          </w:tcPr>
          <w:p>
            <w:pPr>
              <w:widowControl/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㎡</w:t>
            </w:r>
          </w:p>
        </w:tc>
        <w:tc>
          <w:tcPr>
            <w:tcW w:w="1245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sz w:val="22"/>
                <w:szCs w:val="22"/>
              </w:rPr>
              <w:t>1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430</w:t>
            </w:r>
          </w:p>
        </w:tc>
        <w:tc>
          <w:tcPr>
            <w:tcW w:w="1334" w:type="dxa"/>
          </w:tcPr>
          <w:p>
            <w:pPr>
              <w:widowControl/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143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2594" w:type="dxa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晾晒场</w:t>
            </w:r>
          </w:p>
        </w:tc>
        <w:tc>
          <w:tcPr>
            <w:tcW w:w="2520" w:type="dxa"/>
          </w:tcPr>
          <w:p>
            <w:pPr>
              <w:widowControl/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㎡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+500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㎡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 水泥厚度180mm</w:t>
            </w:r>
          </w:p>
        </w:tc>
        <w:tc>
          <w:tcPr>
            <w:tcW w:w="1095" w:type="dxa"/>
          </w:tcPr>
          <w:p>
            <w:pPr>
              <w:widowControl/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㎡</w:t>
            </w:r>
          </w:p>
        </w:tc>
        <w:tc>
          <w:tcPr>
            <w:tcW w:w="1245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334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2594" w:type="dxa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机械库</w:t>
            </w:r>
          </w:p>
        </w:tc>
        <w:tc>
          <w:tcPr>
            <w:tcW w:w="2520" w:type="dxa"/>
          </w:tcPr>
          <w:p>
            <w:pPr>
              <w:widowControl/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高5米</w:t>
            </w:r>
          </w:p>
        </w:tc>
        <w:tc>
          <w:tcPr>
            <w:tcW w:w="1095" w:type="dxa"/>
          </w:tcPr>
          <w:p>
            <w:pPr>
              <w:widowControl/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100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㎡</w:t>
            </w:r>
          </w:p>
        </w:tc>
        <w:tc>
          <w:tcPr>
            <w:tcW w:w="1245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400</w:t>
            </w:r>
          </w:p>
        </w:tc>
        <w:tc>
          <w:tcPr>
            <w:tcW w:w="1334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594" w:type="dxa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电动门</w:t>
            </w:r>
            <w:r>
              <w:rPr>
                <w:rFonts w:ascii="宋体" w:hAnsi="宋体" w:cs="宋体"/>
                <w:sz w:val="20"/>
                <w:szCs w:val="20"/>
              </w:rPr>
              <w:t>及门房</w:t>
            </w:r>
          </w:p>
        </w:tc>
        <w:tc>
          <w:tcPr>
            <w:tcW w:w="2520" w:type="dxa"/>
          </w:tcPr>
          <w:p>
            <w:pPr>
              <w:widowControl/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114型或118型（不锈钢）</w:t>
            </w:r>
          </w:p>
        </w:tc>
        <w:tc>
          <w:tcPr>
            <w:tcW w:w="1095" w:type="dxa"/>
          </w:tcPr>
          <w:p>
            <w:pPr>
              <w:widowControl/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1245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34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594" w:type="dxa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地磅</w:t>
            </w:r>
          </w:p>
        </w:tc>
        <w:tc>
          <w:tcPr>
            <w:tcW w:w="2520" w:type="dxa"/>
          </w:tcPr>
          <w:p>
            <w:pPr>
              <w:widowControl/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100吨</w:t>
            </w:r>
          </w:p>
        </w:tc>
        <w:tc>
          <w:tcPr>
            <w:tcW w:w="1095" w:type="dxa"/>
          </w:tcPr>
          <w:p>
            <w:pPr>
              <w:widowControl/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</w:rPr>
              <w:t>台</w:t>
            </w:r>
          </w:p>
        </w:tc>
        <w:tc>
          <w:tcPr>
            <w:tcW w:w="1245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20000</w:t>
            </w:r>
          </w:p>
        </w:tc>
        <w:tc>
          <w:tcPr>
            <w:tcW w:w="1334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594" w:type="dxa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装载机</w:t>
            </w:r>
          </w:p>
        </w:tc>
        <w:tc>
          <w:tcPr>
            <w:tcW w:w="2520" w:type="dxa"/>
            <w:vAlign w:val="center"/>
          </w:tcPr>
          <w:p>
            <w:pPr>
              <w:widowControl/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T938</w:t>
            </w:r>
          </w:p>
        </w:tc>
        <w:tc>
          <w:tcPr>
            <w:tcW w:w="1095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</w:rPr>
              <w:t>台</w:t>
            </w:r>
          </w:p>
        </w:tc>
        <w:tc>
          <w:tcPr>
            <w:tcW w:w="1245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110000</w:t>
            </w:r>
          </w:p>
        </w:tc>
        <w:tc>
          <w:tcPr>
            <w:tcW w:w="1334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594" w:type="dxa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揉丝机</w:t>
            </w:r>
          </w:p>
        </w:tc>
        <w:tc>
          <w:tcPr>
            <w:tcW w:w="2520" w:type="dxa"/>
            <w:vAlign w:val="center"/>
          </w:tcPr>
          <w:p>
            <w:pPr>
              <w:widowControl/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9YFZ-2.2A</w:t>
            </w:r>
          </w:p>
        </w:tc>
        <w:tc>
          <w:tcPr>
            <w:tcW w:w="1095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</w:rPr>
              <w:t>台</w:t>
            </w:r>
          </w:p>
        </w:tc>
        <w:tc>
          <w:tcPr>
            <w:tcW w:w="1245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195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000</w:t>
            </w:r>
          </w:p>
        </w:tc>
        <w:tc>
          <w:tcPr>
            <w:tcW w:w="1334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19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0"/>
                <w:szCs w:val="20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594" w:type="dxa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拖拉机及梨、宽播</w:t>
            </w:r>
            <w:r>
              <w:rPr>
                <w:rFonts w:ascii="宋体" w:hAnsi="宋体" w:cs="宋体"/>
                <w:sz w:val="20"/>
                <w:szCs w:val="20"/>
              </w:rPr>
              <w:t>、旋耕机</w:t>
            </w:r>
          </w:p>
        </w:tc>
        <w:tc>
          <w:tcPr>
            <w:tcW w:w="2520" w:type="dxa"/>
            <w:vAlign w:val="center"/>
          </w:tcPr>
          <w:p>
            <w:pPr>
              <w:widowControl/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M2004-5G</w:t>
            </w:r>
          </w:p>
        </w:tc>
        <w:tc>
          <w:tcPr>
            <w:tcW w:w="1095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</w:rPr>
              <w:t>台套</w:t>
            </w:r>
          </w:p>
        </w:tc>
        <w:tc>
          <w:tcPr>
            <w:tcW w:w="1245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</w:t>
            </w:r>
            <w:r>
              <w:rPr>
                <w:rFonts w:ascii="宋体" w:hAnsi="宋体" w:cs="宋体"/>
                <w:sz w:val="20"/>
                <w:szCs w:val="20"/>
              </w:rPr>
              <w:t>4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5000</w:t>
            </w:r>
          </w:p>
        </w:tc>
        <w:tc>
          <w:tcPr>
            <w:tcW w:w="1334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cs="宋体"/>
                <w:sz w:val="20"/>
                <w:szCs w:val="20"/>
                <w:lang w:val="en-US"/>
              </w:rPr>
            </w:pPr>
            <w:r>
              <w:rPr>
                <w:rFonts w:ascii="宋体" w:hAnsi="宋体" w:cs="宋体"/>
                <w:sz w:val="20"/>
                <w:szCs w:val="20"/>
              </w:rPr>
              <w:t>34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594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总投资成本</w:t>
            </w:r>
          </w:p>
        </w:tc>
        <w:tc>
          <w:tcPr>
            <w:tcW w:w="252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09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1334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rFonts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Cs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Cs/>
                <w:sz w:val="20"/>
                <w:szCs w:val="20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4.招标方式的确定：</w:t>
      </w:r>
      <w:r>
        <w:rPr>
          <w:rFonts w:hint="eastAsia" w:ascii="仿宋_GB2312" w:hAnsi="仿宋" w:eastAsia="仿宋_GB2312"/>
          <w:sz w:val="32"/>
          <w:szCs w:val="32"/>
        </w:rPr>
        <w:t>经镇政府研究决定采用招标方式为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竞争性磋商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5.项目实施进度</w:t>
      </w:r>
    </w:p>
    <w:p>
      <w:pPr>
        <w:keepNext w:val="0"/>
        <w:keepLines w:val="0"/>
        <w:pageBreakBefore w:val="0"/>
        <w:widowControl w:val="0"/>
        <w:tabs>
          <w:tab w:val="left" w:pos="574"/>
        </w:tabs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2022年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1号</w:t>
      </w:r>
      <w:r>
        <w:rPr>
          <w:rFonts w:hint="eastAsia" w:ascii="仿宋_GB2312" w:hAnsi="仿宋" w:eastAsia="仿宋_GB2312"/>
          <w:sz w:val="32"/>
          <w:szCs w:val="32"/>
        </w:rPr>
        <w:t>-2022年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日完成项目招标。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2）</w:t>
      </w:r>
      <w:r>
        <w:rPr>
          <w:rFonts w:hint="eastAsia" w:ascii="仿宋_GB2312" w:hAnsi="仿宋" w:eastAsia="仿宋_GB2312"/>
          <w:sz w:val="32"/>
          <w:szCs w:val="32"/>
        </w:rPr>
        <w:t>2022年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底</w:t>
      </w:r>
      <w:r>
        <w:rPr>
          <w:rFonts w:hint="eastAsia" w:ascii="仿宋_GB2312" w:hAnsi="仿宋" w:eastAsia="仿宋_GB2312"/>
          <w:sz w:val="32"/>
          <w:szCs w:val="32"/>
        </w:rPr>
        <w:t>前完成工程开工前准备工作。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2022年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月底前，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完成项目机械购置和全部基建。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" w:eastAsia="仿宋_GB2312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项目资金来源：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该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 w:cs="宋体"/>
          <w:sz w:val="32"/>
          <w:szCs w:val="32"/>
        </w:rPr>
        <w:t>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260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其中省级衔接资金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230万元，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村级自筹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30万元。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三、对脱贫户的扶持情况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1.提供就业岗位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通过项目实施进一步拓宽脱贫户及村民就近务工岗位，增加脱贫户和村民收入，</w:t>
      </w:r>
      <w:r>
        <w:rPr>
          <w:rFonts w:ascii="仿宋_GB2312" w:eastAsia="仿宋_GB2312"/>
          <w:sz w:val="32"/>
          <w:szCs w:val="32"/>
        </w:rPr>
        <w:t>合作社按照统一管理的</w:t>
      </w:r>
      <w:r>
        <w:rPr>
          <w:rFonts w:hint="eastAsia" w:ascii="仿宋_GB2312" w:eastAsia="仿宋_GB2312"/>
          <w:sz w:val="32"/>
          <w:szCs w:val="32"/>
        </w:rPr>
        <w:t>产业发展模式</w:t>
      </w:r>
      <w:r>
        <w:rPr>
          <w:rFonts w:ascii="仿宋_GB2312" w:eastAsia="仿宋_GB2312"/>
          <w:sz w:val="32"/>
          <w:szCs w:val="32"/>
        </w:rPr>
        <w:t>，即</w:t>
      </w:r>
      <w:r>
        <w:rPr>
          <w:rFonts w:hint="eastAsia" w:ascii="仿宋_GB2312" w:eastAsia="仿宋_GB2312"/>
          <w:sz w:val="32"/>
          <w:szCs w:val="32"/>
        </w:rPr>
        <w:t>可</w:t>
      </w:r>
      <w:r>
        <w:rPr>
          <w:rFonts w:ascii="仿宋_GB2312" w:eastAsia="仿宋_GB2312"/>
          <w:sz w:val="32"/>
          <w:szCs w:val="32"/>
        </w:rPr>
        <w:t>提高农户收入，</w:t>
      </w:r>
      <w:r>
        <w:rPr>
          <w:rFonts w:hint="eastAsia" w:ascii="仿宋_GB2312" w:eastAsia="仿宋_GB2312"/>
          <w:sz w:val="32"/>
          <w:szCs w:val="32"/>
        </w:rPr>
        <w:t>也可</w:t>
      </w:r>
      <w:r>
        <w:rPr>
          <w:rFonts w:ascii="仿宋_GB2312" w:eastAsia="仿宋_GB2312"/>
          <w:sz w:val="32"/>
          <w:szCs w:val="32"/>
        </w:rPr>
        <w:t>解决脱贫户脱贫</w:t>
      </w:r>
      <w:r>
        <w:rPr>
          <w:rFonts w:hint="eastAsia" w:ascii="仿宋_GB2312" w:eastAsia="仿宋_GB2312"/>
          <w:sz w:val="32"/>
          <w:szCs w:val="32"/>
        </w:rPr>
        <w:t>巩固提升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</w:rPr>
        <w:t>现实</w:t>
      </w:r>
      <w:r>
        <w:rPr>
          <w:rFonts w:ascii="仿宋_GB2312" w:eastAsia="仿宋_GB2312"/>
          <w:sz w:val="32"/>
          <w:szCs w:val="32"/>
        </w:rPr>
        <w:t>问题，实现村集体资产的高效利用和集体经济收入大幅增加。同时村集体经济的发展又成为合作社的反哺，两者优势互补，互利共赢，即</w:t>
      </w:r>
      <w:r>
        <w:rPr>
          <w:rFonts w:hint="eastAsia" w:ascii="仿宋_GB2312" w:eastAsia="仿宋_GB2312"/>
          <w:sz w:val="32"/>
          <w:szCs w:val="32"/>
        </w:rPr>
        <w:t>可</w:t>
      </w:r>
      <w:r>
        <w:rPr>
          <w:rFonts w:ascii="仿宋_GB2312" w:eastAsia="仿宋_GB2312"/>
          <w:sz w:val="32"/>
          <w:szCs w:val="32"/>
        </w:rPr>
        <w:t>壮大村集体经济规模，也</w:t>
      </w:r>
      <w:r>
        <w:rPr>
          <w:rFonts w:hint="eastAsia" w:ascii="仿宋_GB2312" w:eastAsia="仿宋_GB2312"/>
          <w:sz w:val="32"/>
          <w:szCs w:val="32"/>
        </w:rPr>
        <w:t>可</w:t>
      </w:r>
      <w:r>
        <w:rPr>
          <w:rFonts w:ascii="仿宋_GB2312" w:eastAsia="仿宋_GB2312"/>
          <w:sz w:val="32"/>
          <w:szCs w:val="32"/>
        </w:rPr>
        <w:t>稳固村集体经济的可持续发展</w:t>
      </w:r>
      <w:r>
        <w:rPr>
          <w:rFonts w:hint="eastAsia" w:ascii="仿宋_GB2312" w:eastAsia="仿宋_GB2312"/>
          <w:sz w:val="32"/>
          <w:szCs w:val="32"/>
        </w:rPr>
        <w:t>。项目的建成及带动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广福村</w:t>
      </w:r>
      <w:r>
        <w:rPr>
          <w:rFonts w:hint="eastAsia" w:ascii="仿宋_GB2312" w:eastAsia="仿宋_GB2312"/>
          <w:sz w:val="32"/>
          <w:szCs w:val="32"/>
        </w:rPr>
        <w:t>脱贫户增加分红收入，也可发展壮大村级集体经济。项目实施过程中，季节性用工以脱贫户为主，日工资80元以上，带动脱贫户增加了工资性收入。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2.壮大村集体经济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召开村集体经济组织会议，与脱贫户建立利益联结机制，依托村集体经济组织，运用“龙头企业+村集体经济+脱贫户”的模式运营，制定发展计划，大力发展产业帮扶培育机制，做大做强主导产业，通过村集体经济组织解决脱贫户因缺资金、缺技术、缺劳力等因素制约产业发展的问题，真正将产业扶贫资金用于发展壮大村级集体经济和带贫益贫上。该项目实施后可增加</w:t>
      </w:r>
      <w:r>
        <w:rPr>
          <w:rFonts w:ascii="仿宋_GB2312" w:eastAsia="仿宋_GB2312"/>
          <w:sz w:val="32"/>
          <w:szCs w:val="32"/>
        </w:rPr>
        <w:t>村集体收入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3.进行分红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运行后可解决集体经济薄弱、脱贫户内生动力不足等一系列问题。村级经济组织的发展，增加了脱贫户收入，村里也有了集体经济收入。同时，村集体组织完善管理制度，建立按劳分配、按股分配等差异化分红制度，形成有效的激励模式，极大的激发脱贫户内生动力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收益分配依据当年实际收益采取分红模式，保底分红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30</w:t>
      </w:r>
      <w:r>
        <w:rPr>
          <w:rFonts w:hint="eastAsia" w:ascii="仿宋_GB2312" w:hAnsi="Times New Roman" w:eastAsia="仿宋_GB2312" w:cs="Times New Roman"/>
          <w:sz w:val="32"/>
          <w:szCs w:val="32"/>
        </w:rPr>
        <w:t>%，分红所得收益70%作为村级扶贫基金，用于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广福</w:t>
      </w:r>
      <w:r>
        <w:rPr>
          <w:rFonts w:hint="eastAsia" w:ascii="仿宋_GB2312" w:hAnsi="Times New Roman" w:eastAsia="仿宋_GB2312" w:cs="Times New Roman"/>
          <w:sz w:val="32"/>
          <w:szCs w:val="32"/>
        </w:rPr>
        <w:t>村的产业扶持，30%用于项目管护及项目新的投资建设及发展使用。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1.夯实责任，加强项目实施管理。项目镇街要切实落实项目实施主体责任，按照《宝鸡市陈仓区财政衔接推进乡村振兴补助资金项目管理办法》（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宝陈乡振发〔2021〕26号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）要求，严格落实项目库管理、招投标、公示公告等制度，规范项目事前研究、施工监理、资料收集整理、验收审计等过程管理。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规范管理，管好用好项目资金。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加强协调，确保按期完成项目建设任务。项目镇街要加强实施组织协调，充分调动设计、施工、监理及项目村积极性，为项目落实施工提供有力保障，确保2022年6月底前完成项目建设任务、资金兑付和报账工作，接受上级检查验收。同时，提早动手做好项目资产确权移交和后期运维管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3520" w:firstLineChars="11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292100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5pt;margin-top:23pt;height:0pt;width:441pt;z-index:251660288;mso-width-relative:page;mso-height-relative:page;" filled="f" stroked="t" coordsize="21600,21600" o:gfxdata="UEsDBAoAAAAAAIdO4kAAAAAAAAAAAAAAAAAEAAAAZHJzL1BLAwQUAAAACACHTuJA+TEBwNYAAAAI&#10;AQAADwAAAGRycy9kb3ducmV2LnhtbE2Py07DMBBF90j8gzVIbKrWbovaEuJ0AWTHhkLFdhoPSUQ8&#10;TmP3AV/PIBawmscd3Tk3X599p440xDawhenEgCKugmu5tvD6Uo5XoGJCdtgFJgufFGFdXF7kmLlw&#10;4mc6blKtxIRjhhaalPpM61g15DFOQk8s2nsYPCYZh1q7AU9i7js9M2ahPbYsHxrs6b6h6mNz8BZi&#10;uaV9+TWqRuZtXgea7R+eHtHa66upuQOV6Jz+juEHX9ChEKZdOLCLqrMwvpUoycLNQqroq+Vcmt3v&#10;Qhe5/h+g+AZQSwMEFAAAAAgAh07iQK8182T6AQAA8gMAAA4AAABkcnMvZTJvRG9jLnhtbK1TzY7T&#10;MBC+I/EOlu80aVd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+TEBwNYAAAAIAQAADwAAAAAAAAABACAAAAAiAAAAZHJzL2Rvd25yZXYueG1s&#10;UEsBAhQAFAAAAAgAh07iQK8182T6AQAA8gMAAA4AAAAAAAAAAQAgAAAAJQ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抄送：局各领导。</w:t>
      </w:r>
    </w:p>
    <w:p>
      <w:pPr>
        <w:ind w:firstLine="0" w:firstLineChars="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-115570</wp:posOffset>
                </wp:positionH>
                <wp:positionV relativeFrom="paragraph">
                  <wp:posOffset>351155</wp:posOffset>
                </wp:positionV>
                <wp:extent cx="5673090" cy="10795"/>
                <wp:effectExtent l="0" t="4445" r="3810" b="1333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1pt;margin-top:27.65pt;height:0.85pt;width:446.7pt;z-index:251661312;mso-width-relative:page;mso-height-relative:page;" filled="f" stroked="t" coordsize="21600,21600" o:gfxdata="UEsDBAoAAAAAAIdO4kAAAAAAAAAAAAAAAAAEAAAAZHJzL1BLAwQUAAAACACHTuJAIHUDStcAAAAJ&#10;AQAADwAAAGRycy9kb3ducmV2LnhtbE2PwU7DMAyG70i8Q2QkblvSTmWlNJ0QAi5ISIzCOW1MW9E4&#10;VZN14+0xJ3b070+/P5e7kxvFgnMYPGlI1goEUuvtQJ2G+v1plYMI0ZA1oyfU8IMBdtXlRWkK64/0&#10;hss+doJLKBRGQx/jVEgZ2h6dCWs/IfHuy8/ORB7nTtrZHLncjTJV6kY6MxBf6M2EDz223/uD03D/&#10;+fK4eV0a50d729Uf1tXqOdX6+ipRdyAinuI/DH/6rA4VOzX+QDaIUcMqyVNGNWTZBgQD+TbjoOFg&#10;q0BWpTz/oPoF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dQNK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-90805</wp:posOffset>
                </wp:positionH>
                <wp:positionV relativeFrom="paragraph">
                  <wp:posOffset>27305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.15pt;margin-top:2.15pt;height:0pt;width:442.5pt;z-index:251659264;mso-width-relative:page;mso-height-relative:page;" filled="f" stroked="t" coordsize="21600,21600" o:gfxdata="UEsDBAoAAAAAAIdO4kAAAAAAAAAAAAAAAAAEAAAAZHJzL1BLAwQUAAAACACHTuJAcUzMktQAAAAH&#10;AQAADwAAAGRycy9kb3ducmV2LnhtbE2OzU7DMBCE70i8g7VIXKrWTotoFbLpAciNCwXEdRsvSUS8&#10;TmP3B54elwucRqMZzXzF+uR6deAxdF4QspkBxVJ720mD8PpSTVegQiSx1HthhC8OsC4vLwrKrT/K&#10;Mx82sVFpREJOCG2MQ651qFt2FGZ+YEnZhx8dxWTHRtuRjmnc9XpuzK121El6aGng+5brz83eIYTq&#10;jXfV96SemPdF43m+e3h6JMTrq8zcgYp8in9lOOMndCgT09bvxQbVI0yzm0WqIpwl5aulWYLa/npd&#10;Fvo/f/kD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cUzMk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>局                  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 w:cs="仿宋"/>
          <w:sz w:val="28"/>
          <w:szCs w:val="28"/>
        </w:rPr>
        <w:t>日印</w:t>
      </w:r>
      <w:r>
        <w:rPr>
          <w:rFonts w:hint="eastAsia" w:ascii="仿宋" w:hAnsi="仿宋" w:eastAsia="仿宋" w:cs="仿宋"/>
          <w:sz w:val="30"/>
          <w:szCs w:val="30"/>
        </w:rPr>
        <w:t>发</w:t>
      </w:r>
      <w:r>
        <w:rPr>
          <w:rFonts w:ascii="??_GB2312" w:eastAsia="Times New Roman"/>
          <w:sz w:val="30"/>
          <w:szCs w:val="30"/>
        </w:rPr>
        <w:t xml:space="preserve"> </w:t>
      </w:r>
      <w:r>
        <w:rPr>
          <w:rFonts w:ascii="??_GB2312" w:eastAsia="Times New Roman"/>
          <w:sz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5D505B"/>
    <w:multiLevelType w:val="singleLevel"/>
    <w:tmpl w:val="0E5D505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ZTQ0ZGRlMDlhM2NmMThmZTM3MDIwNzQ4ZGEzMzQifQ=="/>
  </w:docVars>
  <w:rsids>
    <w:rsidRoot w:val="15F268BC"/>
    <w:rsid w:val="008260A5"/>
    <w:rsid w:val="01584DC8"/>
    <w:rsid w:val="024B150D"/>
    <w:rsid w:val="0270399F"/>
    <w:rsid w:val="03A61FB7"/>
    <w:rsid w:val="048A6CA1"/>
    <w:rsid w:val="04AE46C4"/>
    <w:rsid w:val="07183860"/>
    <w:rsid w:val="087A40CA"/>
    <w:rsid w:val="088D1A02"/>
    <w:rsid w:val="09910878"/>
    <w:rsid w:val="09DA3AA6"/>
    <w:rsid w:val="0C161399"/>
    <w:rsid w:val="0CA906F7"/>
    <w:rsid w:val="0E815031"/>
    <w:rsid w:val="0EF22C93"/>
    <w:rsid w:val="0EF90B51"/>
    <w:rsid w:val="116E2B0B"/>
    <w:rsid w:val="11CE0283"/>
    <w:rsid w:val="143C3A6D"/>
    <w:rsid w:val="15F268BC"/>
    <w:rsid w:val="174C2107"/>
    <w:rsid w:val="17794093"/>
    <w:rsid w:val="1E0F11DA"/>
    <w:rsid w:val="20614D1A"/>
    <w:rsid w:val="207D7FE9"/>
    <w:rsid w:val="218B3D91"/>
    <w:rsid w:val="23495792"/>
    <w:rsid w:val="23CA48ED"/>
    <w:rsid w:val="2D98137F"/>
    <w:rsid w:val="2DB4446A"/>
    <w:rsid w:val="309F3D83"/>
    <w:rsid w:val="30F15D6B"/>
    <w:rsid w:val="31405E97"/>
    <w:rsid w:val="31463B7E"/>
    <w:rsid w:val="319142E0"/>
    <w:rsid w:val="33794ACB"/>
    <w:rsid w:val="34562DA0"/>
    <w:rsid w:val="3522432D"/>
    <w:rsid w:val="36BD62DA"/>
    <w:rsid w:val="36C13FF0"/>
    <w:rsid w:val="36FE5206"/>
    <w:rsid w:val="3916005F"/>
    <w:rsid w:val="395558C5"/>
    <w:rsid w:val="398B7747"/>
    <w:rsid w:val="3A2C74F1"/>
    <w:rsid w:val="3AB60353"/>
    <w:rsid w:val="3BBA45E8"/>
    <w:rsid w:val="3D5C4094"/>
    <w:rsid w:val="3DD27E45"/>
    <w:rsid w:val="3DF324F6"/>
    <w:rsid w:val="40183213"/>
    <w:rsid w:val="416E27E2"/>
    <w:rsid w:val="44C86028"/>
    <w:rsid w:val="45B3171E"/>
    <w:rsid w:val="45EC5A74"/>
    <w:rsid w:val="468D28B5"/>
    <w:rsid w:val="46E503CD"/>
    <w:rsid w:val="47AB1116"/>
    <w:rsid w:val="48467702"/>
    <w:rsid w:val="48D86EC7"/>
    <w:rsid w:val="49A625E5"/>
    <w:rsid w:val="4A3C6E37"/>
    <w:rsid w:val="4D2237F2"/>
    <w:rsid w:val="4D672C55"/>
    <w:rsid w:val="4D7F2233"/>
    <w:rsid w:val="4F67613F"/>
    <w:rsid w:val="52B322D1"/>
    <w:rsid w:val="53747ECD"/>
    <w:rsid w:val="53FB013B"/>
    <w:rsid w:val="5508244F"/>
    <w:rsid w:val="551E50A4"/>
    <w:rsid w:val="552D5EF6"/>
    <w:rsid w:val="57702786"/>
    <w:rsid w:val="5828690A"/>
    <w:rsid w:val="5B1D3C72"/>
    <w:rsid w:val="5DD42D53"/>
    <w:rsid w:val="5E337EA7"/>
    <w:rsid w:val="5ECD24A0"/>
    <w:rsid w:val="607874BF"/>
    <w:rsid w:val="615D3ECA"/>
    <w:rsid w:val="61B9072D"/>
    <w:rsid w:val="64BD4D82"/>
    <w:rsid w:val="694C3A8F"/>
    <w:rsid w:val="69CF1953"/>
    <w:rsid w:val="6D0031D4"/>
    <w:rsid w:val="6DC24EEE"/>
    <w:rsid w:val="6FD35372"/>
    <w:rsid w:val="6FFE7EE9"/>
    <w:rsid w:val="706179DB"/>
    <w:rsid w:val="710D2881"/>
    <w:rsid w:val="71350B24"/>
    <w:rsid w:val="716A5A04"/>
    <w:rsid w:val="71DE35EF"/>
    <w:rsid w:val="73E36C87"/>
    <w:rsid w:val="76252463"/>
    <w:rsid w:val="766D1CF2"/>
    <w:rsid w:val="77AC47AF"/>
    <w:rsid w:val="79B643A5"/>
    <w:rsid w:val="7ABE2EC6"/>
    <w:rsid w:val="7B8B1EE9"/>
    <w:rsid w:val="7C0A4CF0"/>
    <w:rsid w:val="7FA4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1781</Words>
  <Characters>1967</Characters>
  <Lines>0</Lines>
  <Paragraphs>0</Paragraphs>
  <TotalTime>2</TotalTime>
  <ScaleCrop>false</ScaleCrop>
  <LinksUpToDate>false</LinksUpToDate>
  <CharactersWithSpaces>2029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2020-03-06T07:26:00Z</dcterms:created>
  <dc:creator>天高云淡</dc:creator>
  <cp:lastModifiedBy>天高云淡</cp:lastModifiedBy>
  <cp:lastPrinted>2022-04-15T01:55:00Z</cp:lastPrinted>
  <dcterms:modified xsi:type="dcterms:W3CDTF">2022-05-12T08:02:28Z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BA6638F7BC0F4B9BA655363208BF6C21</vt:lpwstr>
  </property>
</Properties>
</file>